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926B6" w:rsidP="005C7F81">
            <w:pPr>
              <w:tabs>
                <w:tab w:val="left" w:pos="3630"/>
              </w:tabs>
              <w:jc w:val="both"/>
            </w:pPr>
            <w:r>
              <w:t xml:space="preserve">Открытое акционерное общество «Ореховский </w:t>
            </w:r>
            <w:r w:rsidRPr="005C7F81">
              <w:t>льно</w:t>
            </w:r>
            <w:r w:rsidR="005C7F81" w:rsidRPr="005C7F81">
              <w:t>завод</w:t>
            </w:r>
            <w:r w:rsidRPr="005C7F81">
              <w:t>»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0926B6" w:rsidP="00263C42">
            <w:pPr>
              <w:tabs>
                <w:tab w:val="left" w:pos="3630"/>
              </w:tabs>
              <w:jc w:val="both"/>
            </w:pPr>
            <w:r>
              <w:t xml:space="preserve">211026, </w:t>
            </w:r>
            <w:proofErr w:type="gramStart"/>
            <w:r>
              <w:t>Витебская</w:t>
            </w:r>
            <w:proofErr w:type="gramEnd"/>
            <w:r>
              <w:t xml:space="preserve"> обл., Оршанский р-н., г.п. Ореховск, ул. Пролетарская, 64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0926B6" w:rsidRDefault="000926B6" w:rsidP="00263C42">
            <w:pPr>
              <w:tabs>
                <w:tab w:val="left" w:pos="3630"/>
              </w:tabs>
              <w:jc w:val="both"/>
            </w:pPr>
          </w:p>
          <w:p w:rsidR="00111125" w:rsidRDefault="000926B6" w:rsidP="00263C42">
            <w:pPr>
              <w:tabs>
                <w:tab w:val="left" w:pos="3630"/>
              </w:tabs>
              <w:jc w:val="both"/>
            </w:pPr>
            <w:r>
              <w:t>08.08.2024 № 80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0926B6" w:rsidRPr="000926B6" w:rsidRDefault="000926B6" w:rsidP="000926B6">
            <w:pPr>
              <w:ind w:hanging="6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0926B6">
              <w:rPr>
                <w:rFonts w:eastAsia="Calibri"/>
                <w:lang w:eastAsia="en-US"/>
              </w:rPr>
              <w:t xml:space="preserve">крепление материально-технической </w:t>
            </w:r>
            <w:proofErr w:type="gramStart"/>
            <w:r w:rsidRPr="000926B6">
              <w:rPr>
                <w:rFonts w:eastAsia="Calibri"/>
                <w:lang w:eastAsia="en-US"/>
              </w:rPr>
              <w:t>базы общества</w:t>
            </w:r>
            <w:proofErr w:type="gramEnd"/>
          </w:p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Pr="005C7F81" w:rsidRDefault="00E71DC8" w:rsidP="00263C42">
            <w:pPr>
              <w:tabs>
                <w:tab w:val="left" w:pos="3630"/>
              </w:tabs>
              <w:jc w:val="both"/>
            </w:pPr>
            <w:r w:rsidRPr="005C7F81">
              <w:t xml:space="preserve">сумма </w:t>
            </w:r>
            <w:r w:rsidR="005C7F81" w:rsidRPr="005C7F81">
              <w:t xml:space="preserve">1 826 990,00 </w:t>
            </w:r>
            <w:r w:rsidRPr="005C7F81">
              <w:t>рубл</w:t>
            </w:r>
            <w:r w:rsidR="005C7F81" w:rsidRPr="005C7F81">
              <w:t>ей.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Pr="000926B6" w:rsidRDefault="000926B6" w:rsidP="000926B6">
            <w:pPr>
              <w:pStyle w:val="newncpi"/>
              <w:ind w:hanging="6"/>
            </w:pPr>
            <w:r w:rsidRPr="000926B6">
              <w:rPr>
                <w:rFonts w:eastAsia="Calibri"/>
                <w:lang w:eastAsia="en-US"/>
              </w:rPr>
              <w:t>45674750</w:t>
            </w:r>
            <w:r w:rsidRPr="000926B6">
              <w:t xml:space="preserve"> </w:t>
            </w:r>
            <w:r w:rsidRPr="000926B6">
              <w:rPr>
                <w:rFonts w:eastAsia="Calibri"/>
                <w:lang w:eastAsia="en-US"/>
              </w:rPr>
              <w:t xml:space="preserve">штук простых (обыкновенных) акций 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0926B6" w:rsidP="00263C42">
            <w:pPr>
              <w:tabs>
                <w:tab w:val="left" w:pos="3630"/>
              </w:tabs>
              <w:jc w:val="both"/>
            </w:pPr>
            <w:r>
              <w:t>0,04 рубля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1A4E50" w:rsidRPr="001A4E50" w:rsidRDefault="00AC1A74" w:rsidP="001A4E50">
            <w:pPr>
              <w:jc w:val="both"/>
            </w:pPr>
            <w:r w:rsidRPr="00AC1A74">
              <w:rPr>
                <w:rFonts w:eastAsia="Calibri"/>
                <w:lang w:eastAsia="en-US"/>
              </w:rPr>
              <w:t>Решение об объявлении и выплате дивидендов, в том числе о размере дивидендов и порядке их выплаты, принимается общим собранием акционеров Общества.</w:t>
            </w:r>
            <w:r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  <w:r w:rsidR="001A4E50" w:rsidRPr="001A4E50">
              <w:t>Общее собрание акционеров устанавливает период выплаты дивидендов, за который выплачиваются дивиденды, а также срок выплаты дивидендов.</w:t>
            </w:r>
            <w:r w:rsidR="001A4E50">
              <w:t xml:space="preserve"> </w:t>
            </w:r>
            <w:r w:rsidR="001A4E50" w:rsidRPr="001A4E50">
              <w:t xml:space="preserve">Решения об 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и (или) финансовой отчетности, а по результатам года – на основании данных годовой бухгалтерской и (или) финансовой отчетности. </w:t>
            </w:r>
          </w:p>
          <w:p w:rsidR="001A4E50" w:rsidRPr="001A4E50" w:rsidRDefault="001A4E50" w:rsidP="001A4E50">
            <w:pPr>
              <w:jc w:val="both"/>
            </w:pPr>
            <w:r w:rsidRPr="001A4E50">
              <w:t>Дивиденды выплачиваются только по размещенным акциям.</w:t>
            </w:r>
          </w:p>
          <w:p w:rsidR="001A4E50" w:rsidRPr="001A4E50" w:rsidRDefault="001A4E50" w:rsidP="001A4E50">
            <w:pPr>
              <w:jc w:val="both"/>
            </w:pPr>
            <w:r w:rsidRPr="001A4E50">
              <w:t xml:space="preserve">В случае если решением общего собрания акционеров Общества срок выплаты дивидендов не определен, он не должен превышать 60 дней со дня принятия решения об объявлении и выплате дивидендов. </w:t>
            </w:r>
          </w:p>
          <w:p w:rsidR="001A4E50" w:rsidRDefault="001A4E50" w:rsidP="001A4E50">
            <w:pPr>
              <w:jc w:val="both"/>
            </w:pPr>
            <w:r w:rsidRPr="001A4E50">
              <w:t>Размер дивиденда объявляется в белорусских рублях на одну акцию.</w:t>
            </w:r>
          </w:p>
          <w:p w:rsidR="001A4E50" w:rsidRPr="001A4E50" w:rsidRDefault="001A4E50" w:rsidP="001A4E50">
            <w:pPr>
              <w:jc w:val="both"/>
            </w:pPr>
            <w:r w:rsidRPr="001A4E50">
              <w:t>Дивиденды выплачиваются в денежных единицах Республики Беларусь.</w:t>
            </w:r>
          </w:p>
          <w:p w:rsidR="001A4E50" w:rsidRPr="001A4E50" w:rsidRDefault="001A4E50" w:rsidP="001A4E50">
            <w:pPr>
              <w:jc w:val="both"/>
            </w:pPr>
            <w:r w:rsidRPr="001A4E50">
              <w:t>Список акционеров, имеющих право на получение дивидендов, составляется на основании данных того же реестра владельцев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      </w:r>
          </w:p>
          <w:p w:rsidR="006C66FF" w:rsidRPr="00E71DC8" w:rsidRDefault="001A4E50" w:rsidP="001A4E50">
            <w:pPr>
              <w:jc w:val="both"/>
              <w:rPr>
                <w:color w:val="FF0000"/>
              </w:rPr>
            </w:pPr>
            <w:r w:rsidRPr="001A4E50">
              <w:t xml:space="preserve"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1A4E50">
            <w:pPr>
              <w:jc w:val="both"/>
            </w:pPr>
            <w:r w:rsidRPr="00664D97">
              <w:t>Вид вклада (неденежный, денежный)</w:t>
            </w:r>
          </w:p>
        </w:tc>
        <w:tc>
          <w:tcPr>
            <w:tcW w:w="5580" w:type="dxa"/>
            <w:shd w:val="clear" w:color="auto" w:fill="auto"/>
          </w:tcPr>
          <w:p w:rsidR="00B65C10" w:rsidRDefault="000926B6" w:rsidP="00263C42">
            <w:pPr>
              <w:tabs>
                <w:tab w:val="left" w:pos="3630"/>
              </w:tabs>
              <w:jc w:val="both"/>
            </w:pPr>
            <w:proofErr w:type="spellStart"/>
            <w:r w:rsidRPr="00664D97">
              <w:t>неденежны</w:t>
            </w:r>
            <w:r>
              <w:t>й</w:t>
            </w:r>
            <w:proofErr w:type="spellEnd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lastRenderedPageBreak/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6C66FF" w:rsidRPr="006C66FF" w:rsidRDefault="006C66FF" w:rsidP="006C66FF">
            <w:pPr>
              <w:ind w:hanging="6"/>
              <w:jc w:val="both"/>
            </w:pPr>
            <w:r w:rsidRPr="006C66FF">
              <w:t>Акционеры Общества вправе: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участвовать в общем собрании акционеров с правом голоса;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часть прибыли Общества в виде дивидендов;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в случае ликвидации Общества часть имущества, оставшегося после расчетов с кредиторами, или его стоимость;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получать информацию о деятельности Общества и знакомиться с его документацией;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распоряжаться принадлежащими им акциями в порядке, предусмотренном законодательством;</w:t>
            </w:r>
          </w:p>
          <w:p w:rsidR="006C66FF" w:rsidRP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 xml:space="preserve">безвозмездно вносить в имущество Общества </w:t>
            </w:r>
            <w:proofErr w:type="gramStart"/>
            <w:r w:rsidRPr="006C66FF">
              <w:t>вклады</w:t>
            </w:r>
            <w:proofErr w:type="gramEnd"/>
            <w:r w:rsidRPr="006C66FF">
              <w:t xml:space="preserve"> не приводящие к увеличению уставного фонда Общества и изменению размера номинальной стоимости акций, принадлежащих его акционерам;</w:t>
            </w:r>
          </w:p>
          <w:p w:rsidR="006C66FF" w:rsidRDefault="006C66FF" w:rsidP="006C66FF">
            <w:pPr>
              <w:ind w:hanging="6"/>
              <w:jc w:val="both"/>
            </w:pPr>
            <w:r>
              <w:t xml:space="preserve">- </w:t>
            </w:r>
            <w:r w:rsidRPr="006C66FF">
              <w:t>передавать свои полномочия по участию в управлении деятельностью Общества иным лицам путем выдачи доверенности</w:t>
            </w:r>
            <w:r>
              <w:t>.</w:t>
            </w:r>
            <w:r w:rsidRPr="006C66FF">
              <w:t xml:space="preserve"> </w:t>
            </w:r>
          </w:p>
          <w:p w:rsidR="006C66FF" w:rsidRPr="006C66FF" w:rsidRDefault="006C66FF" w:rsidP="006C66FF">
            <w:pPr>
              <w:ind w:hanging="6"/>
              <w:jc w:val="both"/>
            </w:pPr>
          </w:p>
          <w:p w:rsidR="00E71DC8" w:rsidRPr="006C66FF" w:rsidRDefault="006C66FF" w:rsidP="00E71DC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6C66FF">
              <w:rPr>
                <w:color w:val="000000" w:themeColor="text1"/>
              </w:rPr>
              <w:t>рив</w:t>
            </w:r>
            <w:r>
              <w:rPr>
                <w:color w:val="000000" w:themeColor="text1"/>
              </w:rPr>
              <w:t>и</w:t>
            </w:r>
            <w:r w:rsidRPr="006C66FF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е</w:t>
            </w:r>
            <w:r w:rsidRPr="006C66FF">
              <w:rPr>
                <w:color w:val="000000" w:themeColor="text1"/>
              </w:rPr>
              <w:t>гированных акций нет.</w:t>
            </w:r>
          </w:p>
          <w:p w:rsidR="00E71DC8" w:rsidRPr="006C66FF" w:rsidRDefault="006C66FF" w:rsidP="006C66F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E71DC8" w:rsidRPr="006C66FF">
              <w:rPr>
                <w:color w:val="000000" w:themeColor="text1"/>
              </w:rPr>
              <w:t>р</w:t>
            </w:r>
            <w:r w:rsidRPr="006C66FF">
              <w:rPr>
                <w:color w:val="000000" w:themeColor="text1"/>
              </w:rPr>
              <w:t>еи</w:t>
            </w:r>
            <w:r w:rsidR="00E71DC8" w:rsidRPr="006C66FF">
              <w:rPr>
                <w:color w:val="000000" w:themeColor="text1"/>
              </w:rPr>
              <w:t>мущест</w:t>
            </w:r>
            <w:r w:rsidRPr="006C66FF">
              <w:rPr>
                <w:color w:val="000000" w:themeColor="text1"/>
              </w:rPr>
              <w:t>в</w:t>
            </w:r>
            <w:r w:rsidR="00E71DC8" w:rsidRPr="006C66FF">
              <w:rPr>
                <w:color w:val="000000" w:themeColor="text1"/>
              </w:rPr>
              <w:t xml:space="preserve">енное право покупки </w:t>
            </w:r>
            <w:r w:rsidRPr="006C66FF">
              <w:rPr>
                <w:color w:val="000000" w:themeColor="text1"/>
              </w:rPr>
              <w:t xml:space="preserve">акций </w:t>
            </w:r>
            <w:r w:rsidR="00E71DC8" w:rsidRPr="006C66FF">
              <w:rPr>
                <w:color w:val="000000" w:themeColor="text1"/>
              </w:rPr>
              <w:t>нет</w:t>
            </w:r>
            <w:r>
              <w:rPr>
                <w:color w:val="000000" w:themeColor="text1"/>
              </w:rPr>
              <w:t>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E71DC8">
            <w:pPr>
              <w:tabs>
                <w:tab w:val="left" w:pos="3630"/>
              </w:tabs>
              <w:jc w:val="both"/>
            </w:pPr>
            <w:r>
              <w:t>Закрытая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26886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D26886" w:rsidRDefault="00D26886" w:rsidP="00263C42">
            <w:pPr>
              <w:pStyle w:val="newncpi"/>
              <w:ind w:firstLine="0"/>
            </w:pPr>
          </w:p>
          <w:p w:rsidR="00D26886" w:rsidRDefault="00D26886" w:rsidP="00263C42">
            <w:pPr>
              <w:pStyle w:val="newncpi"/>
              <w:ind w:firstLine="0"/>
            </w:pPr>
          </w:p>
          <w:p w:rsidR="00D26886" w:rsidRPr="00664D97" w:rsidRDefault="00D26886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D26886" w:rsidRPr="00D26886" w:rsidRDefault="00D26886" w:rsidP="00D26886">
            <w:pPr>
              <w:tabs>
                <w:tab w:val="left" w:pos="3630"/>
              </w:tabs>
              <w:jc w:val="both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t>место проведения подписки Витебская область, Оршанский район, г.п. Ореховск, ул. Пролетарская 64</w:t>
            </w:r>
          </w:p>
          <w:p w:rsidR="00B65C10" w:rsidRDefault="00D26886" w:rsidP="00D26886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>время подписки с 8-00 до 12-00 час, с 12-30 до 16-30 час, в рабочие дни.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Pr="00D26886" w:rsidRDefault="00D26886" w:rsidP="00D26886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>с 8 августа 2024 года по 7 ноября 2024 года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5C7F81" w:rsidRDefault="00D26886" w:rsidP="00263C42">
            <w:pPr>
              <w:tabs>
                <w:tab w:val="left" w:pos="3630"/>
              </w:tabs>
              <w:jc w:val="both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t xml:space="preserve">с 8 августа 2024 года </w:t>
            </w:r>
            <w:r w:rsidR="005C7F81">
              <w:rPr>
                <w:rFonts w:eastAsia="Calibri"/>
                <w:lang w:eastAsia="en-US"/>
              </w:rPr>
              <w:t>по 6 сентября 2024 г.</w:t>
            </w:r>
          </w:p>
          <w:p w:rsidR="00E71DC8" w:rsidRDefault="00E71DC8" w:rsidP="00263C42">
            <w:pPr>
              <w:tabs>
                <w:tab w:val="left" w:pos="3630"/>
              </w:tabs>
              <w:jc w:val="both"/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CC6710" w:rsidRPr="00664D97" w:rsidRDefault="00B65C10" w:rsidP="001A4E50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</w:tc>
        <w:tc>
          <w:tcPr>
            <w:tcW w:w="5580" w:type="dxa"/>
            <w:shd w:val="clear" w:color="auto" w:fill="auto"/>
          </w:tcPr>
          <w:p w:rsidR="006C66FF" w:rsidRDefault="005C7F81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планируемого объема эмиссии не допускается.</w:t>
            </w:r>
          </w:p>
          <w:p w:rsidR="00B65C10" w:rsidRDefault="00D26886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t xml:space="preserve">В случае </w:t>
            </w:r>
            <w:proofErr w:type="gramStart"/>
            <w:r w:rsidRPr="00D26886">
              <w:rPr>
                <w:rFonts w:eastAsia="Calibri"/>
                <w:lang w:eastAsia="en-US"/>
              </w:rPr>
              <w:t>не достижения</w:t>
            </w:r>
            <w:proofErr w:type="gramEnd"/>
            <w:r w:rsidRPr="00D26886">
              <w:rPr>
                <w:rFonts w:eastAsia="Calibri"/>
                <w:lang w:eastAsia="en-US"/>
              </w:rPr>
              <w:t xml:space="preserve"> планируемого объема эмиссии подписка признается состоявшейся в сумме фактически внесенного </w:t>
            </w:r>
            <w:proofErr w:type="spellStart"/>
            <w:r w:rsidRPr="00D26886">
              <w:rPr>
                <w:rFonts w:eastAsia="Calibri"/>
                <w:lang w:eastAsia="en-US"/>
              </w:rPr>
              <w:t>неденежного</w:t>
            </w:r>
            <w:proofErr w:type="spellEnd"/>
            <w:r w:rsidRPr="00D26886">
              <w:rPr>
                <w:rFonts w:eastAsia="Calibri"/>
                <w:lang w:eastAsia="en-US"/>
              </w:rPr>
              <w:t xml:space="preserve"> вклада.</w:t>
            </w:r>
          </w:p>
          <w:p w:rsidR="00317CC4" w:rsidRDefault="00317CC4" w:rsidP="00D26886">
            <w:pPr>
              <w:pStyle w:val="newncpi"/>
              <w:ind w:hanging="6"/>
              <w:rPr>
                <w:rFonts w:eastAsia="Calibri"/>
                <w:lang w:eastAsia="en-US"/>
              </w:rPr>
            </w:pPr>
          </w:p>
          <w:p w:rsidR="00317CC4" w:rsidRPr="00D26886" w:rsidRDefault="00317CC4" w:rsidP="00D26886">
            <w:pPr>
              <w:pStyle w:val="newncpi"/>
              <w:ind w:hanging="6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317CC4" w:rsidRPr="00D26886" w:rsidRDefault="00D26886" w:rsidP="005C7F81">
            <w:pPr>
              <w:ind w:hanging="6"/>
              <w:jc w:val="both"/>
            </w:pPr>
            <w:r w:rsidRPr="00D26886">
              <w:rPr>
                <w:rFonts w:eastAsia="Calibri"/>
                <w:lang w:eastAsia="en-US"/>
              </w:rPr>
              <w:t xml:space="preserve">Отказ от заключения договора подписки </w:t>
            </w:r>
            <w:r w:rsidR="00317CC4">
              <w:rPr>
                <w:rFonts w:eastAsia="Calibri"/>
                <w:lang w:eastAsia="en-US"/>
              </w:rPr>
              <w:t xml:space="preserve">допускается в случае истечения срока проведения закрытой подписки и в случае </w:t>
            </w:r>
            <w:r w:rsidR="005C7F81" w:rsidRPr="00664D97">
              <w:t>досрочного прекращения проведения закрытой подписки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1A4E50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D763BD" w:rsidRPr="00D26886" w:rsidRDefault="00D26886" w:rsidP="00D26886">
            <w:pPr>
              <w:pStyle w:val="newncpi"/>
              <w:ind w:hanging="6"/>
            </w:pPr>
            <w:r w:rsidRPr="00D26886">
              <w:rPr>
                <w:rFonts w:eastAsia="Calibri"/>
                <w:lang w:eastAsia="en-US"/>
              </w:rPr>
              <w:t xml:space="preserve">В случае если объем </w:t>
            </w:r>
            <w:proofErr w:type="gramStart"/>
            <w:r w:rsidRPr="00D26886">
              <w:rPr>
                <w:rFonts w:eastAsia="Calibri"/>
                <w:lang w:eastAsia="en-US"/>
              </w:rPr>
              <w:t>эмиссии</w:t>
            </w:r>
            <w:proofErr w:type="gramEnd"/>
            <w:r w:rsidRPr="00D26886">
              <w:rPr>
                <w:rFonts w:eastAsia="Calibri"/>
                <w:lang w:eastAsia="en-US"/>
              </w:rPr>
              <w:t xml:space="preserve"> в ходе подписки достигнут, подписка прекращается досрочно.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</w:t>
            </w:r>
            <w:r w:rsidRPr="00664D97">
              <w:lastRenderedPageBreak/>
              <w:t xml:space="preserve">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317CC4" w:rsidRDefault="00317CC4" w:rsidP="004E36DF">
            <w:pPr>
              <w:pStyle w:val="newncpi"/>
              <w:ind w:hanging="6"/>
              <w:rPr>
                <w:rFonts w:eastAsia="Calibri"/>
                <w:lang w:eastAsia="en-US"/>
              </w:rPr>
            </w:pPr>
            <w:r w:rsidRPr="00D26886">
              <w:rPr>
                <w:rFonts w:eastAsia="Calibri"/>
                <w:lang w:eastAsia="en-US"/>
              </w:rPr>
              <w:lastRenderedPageBreak/>
              <w:t>Подписка может быть признана несостоявшейся при нарушении условий ее проведения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26886">
              <w:rPr>
                <w:rFonts w:eastAsia="Calibri"/>
                <w:lang w:eastAsia="en-US"/>
              </w:rPr>
              <w:t xml:space="preserve">отсутствии </w:t>
            </w:r>
            <w:r w:rsidRPr="00D26886">
              <w:rPr>
                <w:rFonts w:eastAsia="Calibri"/>
                <w:lang w:eastAsia="en-US"/>
              </w:rPr>
              <w:lastRenderedPageBreak/>
              <w:t>заключенного договора на дату окончания подписки</w:t>
            </w:r>
            <w:r>
              <w:rPr>
                <w:rFonts w:eastAsia="Calibri"/>
                <w:lang w:eastAsia="en-US"/>
              </w:rPr>
              <w:t xml:space="preserve">, не внесения </w:t>
            </w:r>
            <w:proofErr w:type="spellStart"/>
            <w:r>
              <w:rPr>
                <w:rFonts w:eastAsia="Calibri"/>
                <w:lang w:eastAsia="en-US"/>
              </w:rPr>
              <w:t>неденежного</w:t>
            </w:r>
            <w:proofErr w:type="spellEnd"/>
            <w:r>
              <w:rPr>
                <w:rFonts w:eastAsia="Calibri"/>
                <w:lang w:eastAsia="en-US"/>
              </w:rPr>
              <w:t xml:space="preserve"> вклада.</w:t>
            </w:r>
          </w:p>
          <w:p w:rsidR="00317CC4" w:rsidRDefault="00317CC4" w:rsidP="004E36DF">
            <w:pPr>
              <w:pStyle w:val="newncpi"/>
              <w:ind w:hanging="6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lastRenderedPageBreak/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Pr="00D26886" w:rsidRDefault="00D26886" w:rsidP="00263C42">
            <w:pPr>
              <w:tabs>
                <w:tab w:val="left" w:pos="3630"/>
              </w:tabs>
              <w:jc w:val="both"/>
            </w:pPr>
            <w:r w:rsidRPr="00D26886">
              <w:rPr>
                <w:rFonts w:eastAsia="Calibri"/>
                <w:lang w:eastAsia="en-US"/>
              </w:rPr>
              <w:t xml:space="preserve">В случае принятия общим собранием акционеров решения об отказе дополнительного выпуска акций или признания закрытой подписки на акции Общества несостоявшейся, Общество возвращает </w:t>
            </w:r>
            <w:proofErr w:type="spellStart"/>
            <w:r w:rsidRPr="00D26886">
              <w:rPr>
                <w:rFonts w:eastAsia="Calibri"/>
                <w:lang w:eastAsia="en-US"/>
              </w:rPr>
              <w:t>неденежный</w:t>
            </w:r>
            <w:proofErr w:type="spellEnd"/>
            <w:r w:rsidRPr="00D26886">
              <w:rPr>
                <w:rFonts w:eastAsia="Calibri"/>
                <w:lang w:eastAsia="en-US"/>
              </w:rPr>
              <w:t xml:space="preserve"> вклад, внесенный во время подписки, не позднее одного месяца от даты проведения общего собрания акционеров, на котором утверждались результаты подписки.</w:t>
            </w: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32595"/>
    <w:rsid w:val="000376A3"/>
    <w:rsid w:val="000660B0"/>
    <w:rsid w:val="00066795"/>
    <w:rsid w:val="000926B6"/>
    <w:rsid w:val="000972EA"/>
    <w:rsid w:val="000D7DDC"/>
    <w:rsid w:val="000E5DEA"/>
    <w:rsid w:val="000E68C5"/>
    <w:rsid w:val="00103859"/>
    <w:rsid w:val="00111125"/>
    <w:rsid w:val="00167948"/>
    <w:rsid w:val="001A4E50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17CC4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4E36DF"/>
    <w:rsid w:val="00500A37"/>
    <w:rsid w:val="005C7F81"/>
    <w:rsid w:val="005D34D5"/>
    <w:rsid w:val="005F287C"/>
    <w:rsid w:val="00633C23"/>
    <w:rsid w:val="00653AD1"/>
    <w:rsid w:val="00664D97"/>
    <w:rsid w:val="006903C8"/>
    <w:rsid w:val="006C63E0"/>
    <w:rsid w:val="006C66FF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C1A74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26886"/>
    <w:rsid w:val="00D43E3F"/>
    <w:rsid w:val="00D47BC0"/>
    <w:rsid w:val="00D763BD"/>
    <w:rsid w:val="00D9099C"/>
    <w:rsid w:val="00DA777E"/>
    <w:rsid w:val="00DD6B0D"/>
    <w:rsid w:val="00E21749"/>
    <w:rsid w:val="00E2365C"/>
    <w:rsid w:val="00E67815"/>
    <w:rsid w:val="00E71DC8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  <w:style w:type="paragraph" w:styleId="a4">
    <w:name w:val="footer"/>
    <w:basedOn w:val="a"/>
    <w:link w:val="a5"/>
    <w:rsid w:val="00D268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268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9</cp:revision>
  <dcterms:created xsi:type="dcterms:W3CDTF">2023-08-16T17:57:00Z</dcterms:created>
  <dcterms:modified xsi:type="dcterms:W3CDTF">2024-08-09T07:40:00Z</dcterms:modified>
</cp:coreProperties>
</file>